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EDCC8" w14:textId="23D14F1A" w:rsidR="00BC0B0D" w:rsidRDefault="00BF7774" w:rsidP="00BC0B0D">
      <w:pPr>
        <w:rPr>
          <w:rFonts w:ascii="Gudea" w:hAnsi="Gudea"/>
        </w:rPr>
      </w:pPr>
      <w:r>
        <w:rPr>
          <w:rFonts w:ascii="Gudea" w:hAnsi="Gudea"/>
          <w:noProof/>
        </w:rPr>
        <mc:AlternateContent>
          <mc:Choice Requires="wps">
            <w:drawing>
              <wp:anchor distT="0" distB="0" distL="114300" distR="114300" simplePos="0" relativeHeight="251663360" behindDoc="0" locked="0" layoutInCell="1" allowOverlap="1" wp14:anchorId="2FD46EB0" wp14:editId="0D1D0A4F">
                <wp:simplePos x="0" y="0"/>
                <wp:positionH relativeFrom="column">
                  <wp:posOffset>6099810</wp:posOffset>
                </wp:positionH>
                <wp:positionV relativeFrom="paragraph">
                  <wp:posOffset>-673735</wp:posOffset>
                </wp:positionV>
                <wp:extent cx="3152775" cy="495300"/>
                <wp:effectExtent l="0" t="0" r="9525" b="0"/>
                <wp:wrapNone/>
                <wp:docPr id="2" name="Tekstfelt 2"/>
                <wp:cNvGraphicFramePr/>
                <a:graphic xmlns:a="http://schemas.openxmlformats.org/drawingml/2006/main">
                  <a:graphicData uri="http://schemas.microsoft.com/office/word/2010/wordprocessingShape">
                    <wps:wsp>
                      <wps:cNvSpPr txBox="1"/>
                      <wps:spPr>
                        <a:xfrm>
                          <a:off x="0" y="0"/>
                          <a:ext cx="3152775" cy="495300"/>
                        </a:xfrm>
                        <a:prstGeom prst="rect">
                          <a:avLst/>
                        </a:prstGeom>
                        <a:solidFill>
                          <a:schemeClr val="lt1"/>
                        </a:solidFill>
                        <a:ln w="6350">
                          <a:noFill/>
                        </a:ln>
                      </wps:spPr>
                      <wps:txbx>
                        <w:txbxContent>
                          <w:p w14:paraId="4C68D314" w14:textId="03AC3FB4" w:rsidR="00BF7774" w:rsidRDefault="00BF7774" w:rsidP="00BF7774">
                            <w:pPr>
                              <w:jc w:val="right"/>
                              <w:rPr>
                                <w:rFonts w:ascii="Georgia" w:hAnsi="Georgia"/>
                                <w:sz w:val="20"/>
                              </w:rPr>
                            </w:pPr>
                            <w:r>
                              <w:rPr>
                                <w:rFonts w:ascii="Georgia" w:hAnsi="Georgia"/>
                                <w:sz w:val="20"/>
                              </w:rPr>
                              <w:t>Bestyrelsesmøde 10. december 2020</w:t>
                            </w:r>
                          </w:p>
                          <w:p w14:paraId="021496FD" w14:textId="70930F5A" w:rsidR="00BF7774" w:rsidRPr="00BF7774" w:rsidRDefault="00BF7774" w:rsidP="00BF7774">
                            <w:pPr>
                              <w:jc w:val="right"/>
                              <w:rPr>
                                <w:rFonts w:ascii="Georgia" w:hAnsi="Georgia"/>
                                <w:sz w:val="20"/>
                              </w:rPr>
                            </w:pPr>
                            <w:r>
                              <w:rPr>
                                <w:rFonts w:ascii="Georgia" w:hAnsi="Georgia"/>
                                <w:sz w:val="20"/>
                              </w:rPr>
                              <w:t>Bilag 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D46EB0" id="_x0000_t202" coordsize="21600,21600" o:spt="202" path="m,l,21600r21600,l21600,xe">
                <v:stroke joinstyle="miter"/>
                <v:path gradientshapeok="t" o:connecttype="rect"/>
              </v:shapetype>
              <v:shape id="Tekstfelt 2" o:spid="_x0000_s1026" type="#_x0000_t202" style="position:absolute;margin-left:480.3pt;margin-top:-53.05pt;width:248.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" fillcolor="white [3201]" stroked="f" strokeweight=".5pt">
                <v:textbox>
                  <w:txbxContent>
                    <w:p w14:paraId="4C68D314" w14:textId="03AC3FB4" w:rsidR="00BF7774" w:rsidRDefault="00BF7774" w:rsidP="00BF7774">
                      <w:pPr>
                        <w:jc w:val="right"/>
                        <w:rPr>
                          <w:rFonts w:ascii="Georgia" w:hAnsi="Georgia"/>
                          <w:sz w:val="20"/>
                        </w:rPr>
                      </w:pPr>
                      <w:r>
                        <w:rPr>
                          <w:rFonts w:ascii="Georgia" w:hAnsi="Georgia"/>
                          <w:sz w:val="20"/>
                        </w:rPr>
                        <w:t>Bestyrelsesmøde 10. december 2020</w:t>
                      </w:r>
                    </w:p>
                    <w:p w14:paraId="021496FD" w14:textId="70930F5A" w:rsidR="00BF7774" w:rsidRPr="00BF7774" w:rsidRDefault="00BF7774" w:rsidP="00BF7774">
                      <w:pPr>
                        <w:jc w:val="right"/>
                        <w:rPr>
                          <w:rFonts w:ascii="Georgia" w:hAnsi="Georgia"/>
                          <w:sz w:val="20"/>
                        </w:rPr>
                      </w:pPr>
                      <w:r>
                        <w:rPr>
                          <w:rFonts w:ascii="Georgia" w:hAnsi="Georgia"/>
                          <w:sz w:val="20"/>
                        </w:rPr>
                        <w:t>Bilag 2c</w:t>
                      </w:r>
                    </w:p>
                  </w:txbxContent>
                </v:textbox>
              </v:shape>
            </w:pict>
          </mc:Fallback>
        </mc:AlternateContent>
      </w: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249C8FC0"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344446E8" w14:textId="77777777" w:rsidR="008828BA" w:rsidRDefault="004302A0" w:rsidP="00CE2C74">
                            <w:pPr>
                              <w:jc w:val="center"/>
                              <w:rPr>
                                <w:rFonts w:ascii="Gudea" w:hAnsi="Gudea"/>
                                <w:i/>
                                <w:iCs/>
                                <w:color w:val="FFFFFF" w:themeColor="background1"/>
                                <w:sz w:val="44"/>
                                <w:szCs w:val="44"/>
                              </w:rPr>
                            </w:pPr>
                            <w:r w:rsidRPr="008828BA">
                              <w:rPr>
                                <w:rFonts w:ascii="Gudea" w:hAnsi="Gudea"/>
                                <w:i/>
                                <w:iCs/>
                                <w:color w:val="FFFFFF" w:themeColor="background1"/>
                                <w:sz w:val="44"/>
                                <w:szCs w:val="44"/>
                              </w:rPr>
                              <w:t>Omhandler Aage og Johanne Louis-Hansens Fonds regnskabsperiode</w:t>
                            </w:r>
                          </w:p>
                          <w:p w14:paraId="0028A951" w14:textId="54BF2220" w:rsidR="00CE2C74" w:rsidRPr="008828BA" w:rsidRDefault="004302A0" w:rsidP="00CE2C74">
                            <w:pPr>
                              <w:jc w:val="center"/>
                              <w:rPr>
                                <w:rFonts w:ascii="Gudea" w:hAnsi="Gudea"/>
                                <w:i/>
                                <w:iCs/>
                                <w:color w:val="FFFFFF" w:themeColor="background1"/>
                                <w:sz w:val="44"/>
                                <w:szCs w:val="44"/>
                              </w:rPr>
                            </w:pPr>
                            <w:r w:rsidRPr="008828BA">
                              <w:rPr>
                                <w:rFonts w:ascii="Gudea" w:hAnsi="Gudea"/>
                                <w:i/>
                                <w:iCs/>
                                <w:color w:val="FFFFFF" w:themeColor="background1"/>
                                <w:sz w:val="44"/>
                                <w:szCs w:val="44"/>
                              </w:rPr>
                              <w:t>2019-20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981BC" id="_x0000_s1027" type="#_x0000_t202"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249C8FC0"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344446E8" w14:textId="77777777" w:rsidR="008828BA" w:rsidRDefault="004302A0" w:rsidP="00CE2C74">
                      <w:pPr>
                        <w:jc w:val="center"/>
                        <w:rPr>
                          <w:rFonts w:ascii="Gudea" w:hAnsi="Gudea"/>
                          <w:i/>
                          <w:iCs/>
                          <w:color w:val="FFFFFF" w:themeColor="background1"/>
                          <w:sz w:val="44"/>
                          <w:szCs w:val="44"/>
                        </w:rPr>
                      </w:pPr>
                      <w:r w:rsidRPr="008828BA">
                        <w:rPr>
                          <w:rFonts w:ascii="Gudea" w:hAnsi="Gudea"/>
                          <w:i/>
                          <w:iCs/>
                          <w:color w:val="FFFFFF" w:themeColor="background1"/>
                          <w:sz w:val="44"/>
                          <w:szCs w:val="44"/>
                        </w:rPr>
                        <w:t>Omhandler Aage og Johanne Louis-Hansens Fonds regnskabsperiode</w:t>
                      </w:r>
                    </w:p>
                    <w:p w14:paraId="0028A951" w14:textId="54BF2220" w:rsidR="00CE2C74" w:rsidRPr="008828BA" w:rsidRDefault="004302A0" w:rsidP="00CE2C74">
                      <w:pPr>
                        <w:jc w:val="center"/>
                        <w:rPr>
                          <w:rFonts w:ascii="Gudea" w:hAnsi="Gudea"/>
                          <w:i/>
                          <w:iCs/>
                          <w:color w:val="FFFFFF" w:themeColor="background1"/>
                          <w:sz w:val="44"/>
                          <w:szCs w:val="44"/>
                        </w:rPr>
                      </w:pPr>
                      <w:bookmarkStart w:id="1" w:name="_GoBack"/>
                      <w:bookmarkEnd w:id="1"/>
                      <w:r w:rsidRPr="008828BA">
                        <w:rPr>
                          <w:rFonts w:ascii="Gudea" w:hAnsi="Gudea"/>
                          <w:i/>
                          <w:iCs/>
                          <w:color w:val="FFFFFF" w:themeColor="background1"/>
                          <w:sz w:val="44"/>
                          <w:szCs w:val="44"/>
                        </w:rPr>
                        <w:t>2019-20</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F5EED0F" w:rsidR="001A6130" w:rsidRPr="00063BD1" w:rsidRDefault="001A6130">
                            <w:pPr>
                              <w:rPr>
                                <w:rFonts w:ascii="Gudea" w:hAnsi="Gudea"/>
                                <w:b/>
                                <w:bCs/>
                                <w:i/>
                                <w:iCs/>
                                <w:color w:val="0D414E"/>
                                <w:sz w:val="26"/>
                                <w:szCs w:val="22"/>
                              </w:rPr>
                            </w:pPr>
                            <w:r w:rsidRPr="00A66696">
                              <w:rPr>
                                <w:rFonts w:ascii="Gudea" w:hAnsi="Gudea"/>
                                <w:b/>
                                <w:bCs/>
                                <w:i/>
                                <w:iCs/>
                                <w:color w:val="0D414E"/>
                                <w:sz w:val="26"/>
                                <w:szCs w:val="22"/>
                              </w:rPr>
                              <w:t>[</w:t>
                            </w:r>
                            <w:r w:rsidR="00866FE3" w:rsidRPr="00A66696">
                              <w:rPr>
                                <w:rFonts w:ascii="Gudea" w:hAnsi="Gudea"/>
                                <w:b/>
                                <w:bCs/>
                                <w:i/>
                                <w:iCs/>
                                <w:color w:val="0D414E"/>
                                <w:sz w:val="26"/>
                                <w:szCs w:val="22"/>
                              </w:rPr>
                              <w:t>fondens regnskabsperiode</w:t>
                            </w:r>
                            <w:r w:rsidRPr="00A66696">
                              <w:rPr>
                                <w:rFonts w:ascii="Gudea" w:hAnsi="Gudea"/>
                                <w:b/>
                                <w:bCs/>
                                <w:i/>
                                <w:iCs/>
                                <w:color w:val="0D414E"/>
                                <w:sz w:val="2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9D74E4" id="_x0000_s1027" type="#_x0000_t202"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F5EED0F" w:rsidR="001A6130" w:rsidRPr="00063BD1" w:rsidRDefault="001A6130">
                      <w:pPr>
                        <w:rPr>
                          <w:rFonts w:ascii="Gudea" w:hAnsi="Gudea"/>
                          <w:b/>
                          <w:bCs/>
                          <w:i/>
                          <w:iCs/>
                          <w:color w:val="0D414E"/>
                          <w:sz w:val="26"/>
                          <w:szCs w:val="22"/>
                        </w:rPr>
                      </w:pPr>
                      <w:r w:rsidRPr="00A66696">
                        <w:rPr>
                          <w:rFonts w:ascii="Gudea" w:hAnsi="Gudea"/>
                          <w:b/>
                          <w:bCs/>
                          <w:i/>
                          <w:iCs/>
                          <w:color w:val="0D414E"/>
                          <w:sz w:val="26"/>
                          <w:szCs w:val="22"/>
                        </w:rPr>
                        <w:t>[</w:t>
                      </w:r>
                      <w:r w:rsidR="00866FE3" w:rsidRPr="00A66696">
                        <w:rPr>
                          <w:rFonts w:ascii="Gudea" w:hAnsi="Gudea"/>
                          <w:b/>
                          <w:bCs/>
                          <w:i/>
                          <w:iCs/>
                          <w:color w:val="0D414E"/>
                          <w:sz w:val="26"/>
                          <w:szCs w:val="22"/>
                        </w:rPr>
                        <w:t>fondens regnskabsperiode</w:t>
                      </w:r>
                      <w:r w:rsidRPr="00A66696">
                        <w:rPr>
                          <w:rFonts w:ascii="Gudea" w:hAnsi="Gudea"/>
                          <w:b/>
                          <w:bCs/>
                          <w:i/>
                          <w:iCs/>
                          <w:color w:val="0D414E"/>
                          <w:sz w:val="26"/>
                          <w:szCs w:val="22"/>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4FB9A232" w14:textId="450B039A" w:rsidR="00C21039" w:rsidRDefault="00C21039" w:rsidP="00826717">
            <w:pPr>
              <w:jc w:val="center"/>
              <w:rPr>
                <w:rFonts w:ascii="Gudea" w:hAnsi="Gudea"/>
                <w:sz w:val="20"/>
              </w:rPr>
            </w:pPr>
          </w:p>
          <w:p w14:paraId="5295FB0B" w14:textId="0377C4FF" w:rsidR="00826717" w:rsidRDefault="00826717" w:rsidP="00826717">
            <w:pPr>
              <w:jc w:val="center"/>
              <w:rPr>
                <w:rFonts w:ascii="Gudea" w:hAnsi="Gudea"/>
                <w:sz w:val="20"/>
              </w:rPr>
            </w:pPr>
          </w:p>
          <w:p w14:paraId="24CD0F94" w14:textId="08956E15" w:rsidR="00826717" w:rsidRDefault="00826717" w:rsidP="00826717">
            <w:pPr>
              <w:jc w:val="center"/>
              <w:rPr>
                <w:rFonts w:ascii="Gudea" w:hAnsi="Gudea"/>
                <w:sz w:val="20"/>
              </w:rPr>
            </w:pPr>
          </w:p>
          <w:p w14:paraId="67ACCAFB" w14:textId="2E5DF8EE" w:rsidR="00826717" w:rsidRDefault="00826717" w:rsidP="00826717">
            <w:pPr>
              <w:jc w:val="center"/>
              <w:rPr>
                <w:rFonts w:ascii="Gudea" w:hAnsi="Gudea"/>
                <w:sz w:val="20"/>
              </w:rPr>
            </w:pPr>
          </w:p>
          <w:p w14:paraId="662389CA" w14:textId="5E547A2E" w:rsidR="00826717" w:rsidRDefault="00826717" w:rsidP="00826717">
            <w:pPr>
              <w:jc w:val="center"/>
              <w:rPr>
                <w:rFonts w:ascii="Gudea" w:hAnsi="Gudea"/>
                <w:sz w:val="20"/>
              </w:rPr>
            </w:pPr>
            <w:r>
              <w:rPr>
                <w:rFonts w:ascii="Gudea" w:hAnsi="Gudea"/>
                <w:sz w:val="20"/>
              </w:rPr>
              <w:t>x</w:t>
            </w:r>
          </w:p>
          <w:p w14:paraId="789E6293" w14:textId="32144C23" w:rsidR="00826717" w:rsidRPr="00C21039" w:rsidRDefault="00826717" w:rsidP="00826717">
            <w:pPr>
              <w:jc w:val="center"/>
              <w:rPr>
                <w:rFonts w:ascii="Gudea" w:hAnsi="Gudea"/>
                <w:sz w:val="20"/>
              </w:rPr>
            </w:pP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372C8794" w:rsidR="00826717" w:rsidRPr="00826717" w:rsidRDefault="00826717" w:rsidP="0027461E">
            <w:pPr>
              <w:jc w:val="both"/>
              <w:rPr>
                <w:rFonts w:ascii="Gudea" w:hAnsi="Gudea"/>
                <w:sz w:val="20"/>
                <w:highlight w:val="yellow"/>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713CB335" w14:textId="77777777" w:rsidR="00C21039" w:rsidRDefault="00C21039" w:rsidP="0027461E">
            <w:pPr>
              <w:jc w:val="both"/>
              <w:rPr>
                <w:rFonts w:ascii="Gudea" w:hAnsi="Gudea"/>
                <w:sz w:val="20"/>
              </w:rPr>
            </w:pPr>
          </w:p>
          <w:p w14:paraId="63A0AA9D" w14:textId="77777777" w:rsidR="00826717" w:rsidRDefault="00826717" w:rsidP="0027461E">
            <w:pPr>
              <w:jc w:val="both"/>
              <w:rPr>
                <w:rFonts w:ascii="Gudea" w:hAnsi="Gudea"/>
                <w:sz w:val="20"/>
              </w:rPr>
            </w:pPr>
          </w:p>
          <w:p w14:paraId="022803A3" w14:textId="77777777" w:rsidR="00826717" w:rsidRDefault="00826717" w:rsidP="0027461E">
            <w:pPr>
              <w:jc w:val="both"/>
              <w:rPr>
                <w:rFonts w:ascii="Gudea" w:hAnsi="Gudea"/>
                <w:sz w:val="20"/>
              </w:rPr>
            </w:pPr>
          </w:p>
          <w:p w14:paraId="06697DEB" w14:textId="6E69B247" w:rsidR="00826717" w:rsidRPr="00C21039" w:rsidRDefault="00826717" w:rsidP="00826717">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3118CB63" w14:textId="77777777" w:rsidR="004718B5" w:rsidRDefault="004718B5" w:rsidP="0027461E">
            <w:pPr>
              <w:jc w:val="both"/>
              <w:rPr>
                <w:rFonts w:ascii="Gudea" w:hAnsi="Gudea"/>
                <w:sz w:val="20"/>
              </w:rPr>
            </w:pPr>
          </w:p>
          <w:p w14:paraId="1CF7AE25" w14:textId="61CD9A2B" w:rsidR="00B04F6E" w:rsidRDefault="00B04F6E" w:rsidP="0027461E">
            <w:pPr>
              <w:jc w:val="both"/>
              <w:rPr>
                <w:rFonts w:ascii="Gudea" w:hAnsi="Gudea"/>
                <w:color w:val="FF0000"/>
                <w:sz w:val="20"/>
              </w:rPr>
            </w:pPr>
          </w:p>
          <w:p w14:paraId="583AFFD1" w14:textId="77777777" w:rsidR="00FF7045" w:rsidRDefault="00FF7045" w:rsidP="00FF7045">
            <w:pPr>
              <w:jc w:val="center"/>
              <w:rPr>
                <w:rFonts w:ascii="Gudea" w:hAnsi="Gudea"/>
                <w:color w:val="FF0000"/>
                <w:sz w:val="20"/>
              </w:rPr>
            </w:pPr>
          </w:p>
          <w:p w14:paraId="44F94494" w14:textId="5EDC3B9E" w:rsidR="00FF7045" w:rsidRPr="00FF7045" w:rsidRDefault="00FF7045" w:rsidP="00FF7045">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54660D9A" w14:textId="77777777" w:rsidR="00C21039" w:rsidRDefault="00C21039" w:rsidP="0027461E">
            <w:pPr>
              <w:jc w:val="both"/>
              <w:rPr>
                <w:rFonts w:ascii="Gudea" w:hAnsi="Gudea"/>
                <w:sz w:val="20"/>
              </w:rPr>
            </w:pPr>
          </w:p>
          <w:p w14:paraId="5C1EAEC0" w14:textId="77777777" w:rsidR="00826717" w:rsidRDefault="00826717" w:rsidP="0027461E">
            <w:pPr>
              <w:jc w:val="both"/>
              <w:rPr>
                <w:rFonts w:ascii="Gudea" w:hAnsi="Gudea"/>
                <w:sz w:val="20"/>
              </w:rPr>
            </w:pPr>
          </w:p>
          <w:p w14:paraId="5201F8B3" w14:textId="77777777" w:rsidR="00826717" w:rsidRDefault="00826717" w:rsidP="0027461E">
            <w:pPr>
              <w:jc w:val="both"/>
              <w:rPr>
                <w:rFonts w:ascii="Gudea" w:hAnsi="Gudea"/>
                <w:sz w:val="20"/>
              </w:rPr>
            </w:pPr>
          </w:p>
          <w:p w14:paraId="744B811C" w14:textId="77777777" w:rsidR="00826717" w:rsidRDefault="00826717" w:rsidP="0027461E">
            <w:pPr>
              <w:jc w:val="both"/>
              <w:rPr>
                <w:rFonts w:ascii="Gudea" w:hAnsi="Gudea"/>
                <w:sz w:val="20"/>
              </w:rPr>
            </w:pPr>
          </w:p>
          <w:p w14:paraId="20E9FEB0" w14:textId="1FDF2ED8" w:rsidR="00826717" w:rsidRPr="00C21039" w:rsidRDefault="00826717" w:rsidP="00826717">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7CA43560" w14:textId="77777777" w:rsidR="00C21039" w:rsidRDefault="00C21039" w:rsidP="0027461E">
            <w:pPr>
              <w:jc w:val="both"/>
              <w:rPr>
                <w:rFonts w:ascii="Gudea" w:hAnsi="Gudea"/>
                <w:sz w:val="20"/>
              </w:rPr>
            </w:pPr>
          </w:p>
          <w:p w14:paraId="652E3393" w14:textId="77777777" w:rsidR="00B04F6E" w:rsidRDefault="00B04F6E" w:rsidP="0027461E">
            <w:pPr>
              <w:jc w:val="both"/>
              <w:rPr>
                <w:rFonts w:ascii="Gudea" w:hAnsi="Gudea"/>
                <w:sz w:val="20"/>
              </w:rPr>
            </w:pPr>
          </w:p>
          <w:p w14:paraId="420371A0" w14:textId="77777777" w:rsidR="00B04F6E" w:rsidRDefault="00B04F6E" w:rsidP="0027461E">
            <w:pPr>
              <w:jc w:val="both"/>
              <w:rPr>
                <w:rFonts w:ascii="Gudea" w:hAnsi="Gudea"/>
                <w:sz w:val="20"/>
              </w:rPr>
            </w:pPr>
          </w:p>
          <w:p w14:paraId="48CB137B" w14:textId="77777777" w:rsidR="00B04F6E" w:rsidRDefault="00B04F6E" w:rsidP="0027461E">
            <w:pPr>
              <w:jc w:val="both"/>
              <w:rPr>
                <w:rFonts w:ascii="Gudea" w:hAnsi="Gudea"/>
                <w:sz w:val="20"/>
              </w:rPr>
            </w:pPr>
          </w:p>
          <w:p w14:paraId="775D6D0C" w14:textId="77777777" w:rsidR="00B04F6E" w:rsidRDefault="00B04F6E" w:rsidP="0027461E">
            <w:pPr>
              <w:jc w:val="both"/>
              <w:rPr>
                <w:rFonts w:ascii="Gudea" w:hAnsi="Gudea"/>
                <w:sz w:val="20"/>
              </w:rPr>
            </w:pPr>
          </w:p>
          <w:p w14:paraId="753F8B2C" w14:textId="77777777" w:rsidR="00B04F6E" w:rsidRDefault="00B04F6E" w:rsidP="0027461E">
            <w:pPr>
              <w:jc w:val="both"/>
              <w:rPr>
                <w:rFonts w:ascii="Gudea" w:hAnsi="Gudea"/>
                <w:sz w:val="20"/>
              </w:rPr>
            </w:pPr>
          </w:p>
          <w:p w14:paraId="68287350" w14:textId="77777777" w:rsidR="00B04F6E" w:rsidRDefault="00B04F6E" w:rsidP="0027461E">
            <w:pPr>
              <w:jc w:val="both"/>
              <w:rPr>
                <w:rFonts w:ascii="Gudea" w:hAnsi="Gudea"/>
                <w:sz w:val="20"/>
              </w:rPr>
            </w:pPr>
          </w:p>
          <w:p w14:paraId="0C5FF69C" w14:textId="15AE6222" w:rsidR="00B04F6E" w:rsidRPr="00C21039" w:rsidRDefault="00B04F6E" w:rsidP="00B04F6E">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74FA763D" w14:textId="77777777" w:rsidR="00C21039" w:rsidRDefault="00C21039" w:rsidP="0027461E">
            <w:pPr>
              <w:jc w:val="both"/>
              <w:rPr>
                <w:rFonts w:ascii="Gudea" w:hAnsi="Gudea"/>
                <w:sz w:val="20"/>
              </w:rPr>
            </w:pPr>
          </w:p>
          <w:p w14:paraId="23F37082" w14:textId="77777777" w:rsidR="00B04F6E" w:rsidRDefault="00B04F6E" w:rsidP="0027461E">
            <w:pPr>
              <w:jc w:val="both"/>
              <w:rPr>
                <w:rFonts w:ascii="Gudea" w:hAnsi="Gudea"/>
                <w:sz w:val="20"/>
              </w:rPr>
            </w:pPr>
          </w:p>
          <w:p w14:paraId="31445F36" w14:textId="77777777" w:rsidR="00B04F6E" w:rsidRDefault="00B04F6E" w:rsidP="0027461E">
            <w:pPr>
              <w:jc w:val="both"/>
              <w:rPr>
                <w:rFonts w:ascii="Gudea" w:hAnsi="Gudea"/>
                <w:sz w:val="20"/>
              </w:rPr>
            </w:pPr>
          </w:p>
          <w:p w14:paraId="6F3E2532" w14:textId="364AC8F7" w:rsidR="00B04F6E" w:rsidRPr="00C21039" w:rsidRDefault="00B04F6E" w:rsidP="00B04F6E">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62341529" w14:textId="77777777" w:rsidR="00C21039" w:rsidRDefault="00C21039" w:rsidP="0027461E">
            <w:pPr>
              <w:jc w:val="both"/>
              <w:rPr>
                <w:rFonts w:ascii="Gudea" w:hAnsi="Gudea"/>
                <w:sz w:val="20"/>
              </w:rPr>
            </w:pPr>
          </w:p>
          <w:p w14:paraId="3670FA6B" w14:textId="77777777" w:rsidR="00B04F6E" w:rsidRDefault="00B04F6E" w:rsidP="0027461E">
            <w:pPr>
              <w:jc w:val="both"/>
              <w:rPr>
                <w:rFonts w:ascii="Gudea" w:hAnsi="Gudea"/>
                <w:sz w:val="20"/>
              </w:rPr>
            </w:pPr>
          </w:p>
          <w:p w14:paraId="3005445E" w14:textId="77777777" w:rsidR="00B04F6E" w:rsidRDefault="00B04F6E" w:rsidP="0027461E">
            <w:pPr>
              <w:jc w:val="both"/>
              <w:rPr>
                <w:rFonts w:ascii="Gudea" w:hAnsi="Gudea"/>
                <w:sz w:val="20"/>
              </w:rPr>
            </w:pPr>
          </w:p>
          <w:p w14:paraId="529E9729" w14:textId="54B6E54E" w:rsidR="00B04F6E" w:rsidRPr="00C21039" w:rsidRDefault="00B04F6E" w:rsidP="00B04F6E">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007206F1" w14:textId="66E406A8" w:rsidR="000B3878" w:rsidRPr="00C21039" w:rsidRDefault="00070C75" w:rsidP="00B04F6E">
            <w:pPr>
              <w:spacing w:line="276" w:lineRule="auto"/>
              <w:jc w:val="both"/>
              <w:rPr>
                <w:rFonts w:ascii="Gudea" w:hAnsi="Gudea"/>
                <w:sz w:val="20"/>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tc>
        <w:tc>
          <w:tcPr>
            <w:tcW w:w="1844" w:type="dxa"/>
            <w:tcBorders>
              <w:bottom w:val="single" w:sz="4" w:space="0" w:color="auto"/>
            </w:tcBorders>
          </w:tcPr>
          <w:p w14:paraId="482328A6" w14:textId="77777777" w:rsidR="00C21039" w:rsidRDefault="00C21039" w:rsidP="00B04F6E">
            <w:pPr>
              <w:jc w:val="center"/>
              <w:rPr>
                <w:rFonts w:ascii="Gudea" w:hAnsi="Gudea"/>
                <w:sz w:val="20"/>
              </w:rPr>
            </w:pPr>
          </w:p>
          <w:p w14:paraId="49A5A7D5" w14:textId="77777777" w:rsidR="00B04F6E" w:rsidRDefault="00B04F6E" w:rsidP="00B04F6E">
            <w:pPr>
              <w:jc w:val="center"/>
              <w:rPr>
                <w:rFonts w:ascii="Gudea" w:hAnsi="Gudea"/>
                <w:sz w:val="20"/>
              </w:rPr>
            </w:pPr>
          </w:p>
          <w:p w14:paraId="48B1F478" w14:textId="77777777" w:rsidR="00B04F6E" w:rsidRDefault="00B04F6E" w:rsidP="00B04F6E">
            <w:pPr>
              <w:jc w:val="center"/>
              <w:rPr>
                <w:rFonts w:ascii="Gudea" w:hAnsi="Gudea"/>
                <w:sz w:val="20"/>
              </w:rPr>
            </w:pPr>
          </w:p>
          <w:p w14:paraId="3CC987E2" w14:textId="77777777" w:rsidR="00B04F6E" w:rsidRDefault="00B04F6E" w:rsidP="00B04F6E">
            <w:pPr>
              <w:jc w:val="center"/>
              <w:rPr>
                <w:rFonts w:ascii="Gudea" w:hAnsi="Gudea"/>
                <w:sz w:val="20"/>
              </w:rPr>
            </w:pPr>
          </w:p>
          <w:p w14:paraId="509826F4" w14:textId="77777777" w:rsidR="00B04F6E" w:rsidRDefault="00B04F6E" w:rsidP="00B04F6E">
            <w:pPr>
              <w:jc w:val="center"/>
              <w:rPr>
                <w:rFonts w:ascii="Gudea" w:hAnsi="Gudea"/>
                <w:sz w:val="20"/>
              </w:rPr>
            </w:pPr>
          </w:p>
          <w:p w14:paraId="72B5C89F" w14:textId="77777777" w:rsidR="00B04F6E" w:rsidRDefault="00B04F6E" w:rsidP="00B04F6E">
            <w:pPr>
              <w:jc w:val="center"/>
              <w:rPr>
                <w:rFonts w:ascii="Gudea" w:hAnsi="Gudea"/>
                <w:sz w:val="20"/>
              </w:rPr>
            </w:pPr>
          </w:p>
          <w:p w14:paraId="4FA06E86" w14:textId="77777777" w:rsidR="00B04F6E" w:rsidRDefault="00B04F6E" w:rsidP="00B04F6E">
            <w:pPr>
              <w:jc w:val="center"/>
              <w:rPr>
                <w:rFonts w:ascii="Gudea" w:hAnsi="Gudea"/>
                <w:sz w:val="20"/>
              </w:rPr>
            </w:pPr>
          </w:p>
          <w:p w14:paraId="238F8122" w14:textId="77777777" w:rsidR="00B04F6E" w:rsidRDefault="00B04F6E" w:rsidP="00B04F6E">
            <w:pPr>
              <w:jc w:val="center"/>
              <w:rPr>
                <w:rFonts w:ascii="Gudea" w:hAnsi="Gudea"/>
                <w:sz w:val="20"/>
              </w:rPr>
            </w:pPr>
          </w:p>
          <w:p w14:paraId="31810074" w14:textId="245E017D" w:rsidR="00B04F6E" w:rsidRPr="00C21039" w:rsidRDefault="00B04F6E" w:rsidP="00B04F6E">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rPr>
              <w:t>medlemmets eventuelle særlige kompetencer,</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455A151F" w14:textId="77777777" w:rsidR="005C5818" w:rsidRDefault="005C5818" w:rsidP="0027461E">
            <w:pPr>
              <w:jc w:val="both"/>
              <w:rPr>
                <w:rFonts w:ascii="Gudea" w:hAnsi="Gudea"/>
                <w:sz w:val="20"/>
              </w:rPr>
            </w:pPr>
          </w:p>
          <w:p w14:paraId="2CA64486" w14:textId="77777777" w:rsidR="00B04F6E" w:rsidRDefault="00B04F6E" w:rsidP="0027461E">
            <w:pPr>
              <w:jc w:val="both"/>
              <w:rPr>
                <w:rFonts w:ascii="Gudea" w:hAnsi="Gudea"/>
                <w:sz w:val="20"/>
              </w:rPr>
            </w:pPr>
          </w:p>
          <w:p w14:paraId="045B0DE0" w14:textId="77777777" w:rsidR="00B04F6E" w:rsidRDefault="00B04F6E" w:rsidP="0027461E">
            <w:pPr>
              <w:jc w:val="both"/>
              <w:rPr>
                <w:rFonts w:ascii="Gudea" w:hAnsi="Gudea"/>
                <w:sz w:val="20"/>
              </w:rPr>
            </w:pPr>
          </w:p>
          <w:p w14:paraId="42732E64" w14:textId="77777777" w:rsidR="00B04F6E" w:rsidRDefault="00B04F6E" w:rsidP="0027461E">
            <w:pPr>
              <w:jc w:val="both"/>
              <w:rPr>
                <w:rFonts w:ascii="Gudea" w:hAnsi="Gudea"/>
                <w:sz w:val="20"/>
              </w:rPr>
            </w:pPr>
          </w:p>
          <w:p w14:paraId="05B7D3C1" w14:textId="77777777" w:rsidR="00B04F6E" w:rsidRDefault="00B04F6E" w:rsidP="0027461E">
            <w:pPr>
              <w:jc w:val="both"/>
              <w:rPr>
                <w:rFonts w:ascii="Gudea" w:hAnsi="Gudea"/>
                <w:sz w:val="20"/>
              </w:rPr>
            </w:pPr>
          </w:p>
          <w:p w14:paraId="27BC4FA4" w14:textId="77777777" w:rsidR="00B04F6E" w:rsidRDefault="00B04F6E" w:rsidP="0027461E">
            <w:pPr>
              <w:jc w:val="both"/>
              <w:rPr>
                <w:rFonts w:ascii="Gudea" w:hAnsi="Gudea"/>
                <w:sz w:val="20"/>
              </w:rPr>
            </w:pPr>
          </w:p>
          <w:p w14:paraId="00033EC2" w14:textId="77777777" w:rsidR="00B04F6E" w:rsidRDefault="00B04F6E" w:rsidP="0027461E">
            <w:pPr>
              <w:jc w:val="both"/>
              <w:rPr>
                <w:rFonts w:ascii="Gudea" w:hAnsi="Gudea"/>
                <w:sz w:val="20"/>
              </w:rPr>
            </w:pPr>
          </w:p>
          <w:p w14:paraId="4B3C41A3" w14:textId="77777777" w:rsidR="00B04F6E" w:rsidRDefault="00B04F6E" w:rsidP="0027461E">
            <w:pPr>
              <w:jc w:val="both"/>
              <w:rPr>
                <w:rFonts w:ascii="Gudea" w:hAnsi="Gudea"/>
                <w:sz w:val="20"/>
              </w:rPr>
            </w:pPr>
          </w:p>
          <w:p w14:paraId="68F34B70" w14:textId="77777777" w:rsidR="00B04F6E" w:rsidRDefault="00B04F6E" w:rsidP="0027461E">
            <w:pPr>
              <w:jc w:val="both"/>
              <w:rPr>
                <w:rFonts w:ascii="Gudea" w:hAnsi="Gudea"/>
                <w:sz w:val="20"/>
              </w:rPr>
            </w:pPr>
          </w:p>
          <w:p w14:paraId="52742BFE" w14:textId="77777777" w:rsidR="00B04F6E" w:rsidRDefault="00B04F6E" w:rsidP="0027461E">
            <w:pPr>
              <w:jc w:val="both"/>
              <w:rPr>
                <w:rFonts w:ascii="Gudea" w:hAnsi="Gudea"/>
                <w:sz w:val="20"/>
              </w:rPr>
            </w:pPr>
          </w:p>
          <w:p w14:paraId="3FED54ED" w14:textId="2592E74E" w:rsidR="00B04F6E" w:rsidRPr="00C21039" w:rsidRDefault="00B04F6E" w:rsidP="00B04F6E">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15B2ECE7" w14:textId="70A9EC2A" w:rsidR="00484BEC" w:rsidRPr="00C13078" w:rsidRDefault="00C13078" w:rsidP="00C13078">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68B3B2D6" w14:textId="77777777" w:rsidR="00484BEC" w:rsidRDefault="00484BEC" w:rsidP="0027461E">
            <w:pPr>
              <w:jc w:val="both"/>
              <w:rPr>
                <w:rFonts w:ascii="Gudea" w:hAnsi="Gudea"/>
                <w:sz w:val="20"/>
              </w:rPr>
            </w:pPr>
          </w:p>
          <w:p w14:paraId="53A5EC31" w14:textId="77777777" w:rsidR="00523A30" w:rsidRDefault="00523A30" w:rsidP="0027461E">
            <w:pPr>
              <w:jc w:val="both"/>
              <w:rPr>
                <w:rFonts w:ascii="Gudea" w:hAnsi="Gudea"/>
                <w:sz w:val="20"/>
              </w:rPr>
            </w:pPr>
          </w:p>
          <w:p w14:paraId="3A134C26" w14:textId="77777777" w:rsidR="00523A30" w:rsidRDefault="00523A30" w:rsidP="0027461E">
            <w:pPr>
              <w:jc w:val="both"/>
              <w:rPr>
                <w:rFonts w:ascii="Gudea" w:hAnsi="Gudea"/>
                <w:sz w:val="20"/>
              </w:rPr>
            </w:pPr>
          </w:p>
          <w:p w14:paraId="0C371856" w14:textId="0603D6A6" w:rsidR="00523A30" w:rsidRPr="00C21039" w:rsidRDefault="00523A30" w:rsidP="00523A30">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 seneste fem år har modtaget større vederlag, herunder uddelinger eller andre ydelser, fra fonden/koncernen eller en dattervirksomhed eller associeret virksomhed til fonden i anden egenskab end som medlem af fondens bestyrelse eller direktion,</w:t>
            </w:r>
          </w:p>
          <w:p w14:paraId="1E12620C"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i nær familie med eller på en anden måde står personer, som ikke betragtes som uafhængige, særligt nær,</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DC19F49" w14:textId="1DAF013E" w:rsidR="005B2433" w:rsidRDefault="00523A30" w:rsidP="00523A30">
            <w:pPr>
              <w:rPr>
                <w:rFonts w:ascii="Gudea" w:hAnsi="Gudea"/>
                <w:sz w:val="20"/>
              </w:rPr>
            </w:pPr>
            <w:r>
              <w:rPr>
                <w:rFonts w:ascii="Gudea" w:hAnsi="Gudea"/>
                <w:sz w:val="20"/>
              </w:rPr>
              <w:t>Fonden følger ikke anbefaling 2.4.1, fordi bestyrelsen finder, at det har større værdi for Fonden at sikre, at bestyrelsen består af  personer, der samlet</w:t>
            </w:r>
            <w:r w:rsidR="00FF7045">
              <w:rPr>
                <w:rFonts w:ascii="Gudea" w:hAnsi="Gudea"/>
                <w:sz w:val="20"/>
              </w:rPr>
              <w:t xml:space="preserve"> set</w:t>
            </w:r>
            <w:r>
              <w:rPr>
                <w:rFonts w:ascii="Gudea" w:hAnsi="Gudea"/>
                <w:sz w:val="20"/>
              </w:rPr>
              <w:t xml:space="preserve"> er</w:t>
            </w:r>
            <w:r w:rsidR="00F83358">
              <w:rPr>
                <w:rFonts w:ascii="Gudea" w:hAnsi="Gudea"/>
                <w:sz w:val="20"/>
              </w:rPr>
              <w:t xml:space="preserve"> bedst kvalificeret til hvervet</w:t>
            </w:r>
            <w:bookmarkStart w:id="0" w:name="_GoBack"/>
            <w:bookmarkEnd w:id="0"/>
            <w:r>
              <w:rPr>
                <w:rFonts w:ascii="Gudea" w:hAnsi="Gudea"/>
                <w:sz w:val="20"/>
              </w:rPr>
              <w:t xml:space="preserve"> fremfor at sikre, at dens medlemmer opfylder Komitéen for god Fondsledelses definition på uafhængighed.</w:t>
            </w:r>
          </w:p>
          <w:p w14:paraId="449F9857" w14:textId="77777777" w:rsidR="00523A30" w:rsidRDefault="00523A30" w:rsidP="005B2433">
            <w:pPr>
              <w:jc w:val="both"/>
              <w:rPr>
                <w:rFonts w:ascii="Gudea" w:hAnsi="Gudea"/>
                <w:sz w:val="20"/>
              </w:rPr>
            </w:pPr>
          </w:p>
          <w:p w14:paraId="760D1DCC" w14:textId="5A24068C" w:rsidR="00523A30" w:rsidRPr="00523A30" w:rsidRDefault="00523A30" w:rsidP="005B2433">
            <w:pPr>
              <w:jc w:val="both"/>
              <w:rPr>
                <w:rFonts w:ascii="Gudea" w:hAnsi="Gudea"/>
                <w:color w:val="FF0000"/>
                <w:sz w:val="20"/>
              </w:rPr>
            </w:pPr>
          </w:p>
        </w:tc>
        <w:tc>
          <w:tcPr>
            <w:tcW w:w="2268" w:type="dxa"/>
            <w:tcBorders>
              <w:left w:val="single" w:sz="4" w:space="0" w:color="auto"/>
            </w:tcBorders>
          </w:tcPr>
          <w:p w14:paraId="3E900B58" w14:textId="371C7708" w:rsidR="00523A30" w:rsidRDefault="00523A30" w:rsidP="00523A30">
            <w:pPr>
              <w:rPr>
                <w:rFonts w:ascii="Gudea" w:hAnsi="Gudea"/>
                <w:sz w:val="20"/>
              </w:rPr>
            </w:pPr>
            <w:r>
              <w:rPr>
                <w:rFonts w:ascii="Gudea" w:hAnsi="Gudea"/>
                <w:sz w:val="20"/>
              </w:rPr>
              <w:t>Bestyrelsen i Aage og Johanne Louis-Hansens Fond består af tre medlemmer inklusiv</w:t>
            </w:r>
            <w:r w:rsidR="003222FB">
              <w:rPr>
                <w:rFonts w:ascii="Gudea" w:hAnsi="Gudea"/>
                <w:sz w:val="20"/>
              </w:rPr>
              <w:t>e</w:t>
            </w:r>
            <w:r>
              <w:rPr>
                <w:rFonts w:ascii="Gudea" w:hAnsi="Gudea"/>
                <w:sz w:val="20"/>
              </w:rPr>
              <w:t xml:space="preserve"> formanden. </w:t>
            </w:r>
          </w:p>
          <w:p w14:paraId="7276B243" w14:textId="77777777" w:rsidR="00523A30" w:rsidRDefault="00523A30" w:rsidP="00523A30">
            <w:pPr>
              <w:rPr>
                <w:rFonts w:ascii="Gudea" w:hAnsi="Gudea"/>
                <w:sz w:val="20"/>
              </w:rPr>
            </w:pPr>
          </w:p>
          <w:p w14:paraId="00108478" w14:textId="77777777" w:rsidR="005B2433" w:rsidRDefault="00523A30" w:rsidP="00523A30">
            <w:pPr>
              <w:rPr>
                <w:rFonts w:ascii="Gudea" w:hAnsi="Gudea"/>
                <w:sz w:val="20"/>
              </w:rPr>
            </w:pPr>
            <w:r>
              <w:rPr>
                <w:rFonts w:ascii="Gudea" w:hAnsi="Gudea"/>
                <w:sz w:val="20"/>
              </w:rPr>
              <w:t xml:space="preserve">Kredsen er sammensat under hensyn til bestyrelsens samlede kompetencebehov og ud fra medlemmernes personlige kompetencer og erfaring. Herudover lægges vægt på behovet for kontinuitet kombineret med en vis fornyelse.  </w:t>
            </w:r>
          </w:p>
          <w:p w14:paraId="15C2744B" w14:textId="77777777" w:rsidR="00523A30" w:rsidRDefault="00523A30" w:rsidP="00523A30">
            <w:pPr>
              <w:rPr>
                <w:rFonts w:ascii="Gudea" w:hAnsi="Gudea"/>
                <w:sz w:val="20"/>
              </w:rPr>
            </w:pPr>
          </w:p>
          <w:p w14:paraId="703D1970" w14:textId="4C8131C1" w:rsidR="00523A30" w:rsidRPr="00523A30" w:rsidRDefault="00523A30" w:rsidP="00523A30">
            <w:pPr>
              <w:rPr>
                <w:rFonts w:ascii="Gudea" w:hAnsi="Gudea"/>
                <w:color w:val="FF0000"/>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495F598F"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3948A7B" w14:textId="35117397" w:rsidR="00523A30" w:rsidRDefault="00523A30" w:rsidP="00523A30">
            <w:pPr>
              <w:rPr>
                <w:rFonts w:ascii="Gudea" w:hAnsi="Gudea"/>
                <w:sz w:val="20"/>
              </w:rPr>
            </w:pPr>
            <w:r>
              <w:rPr>
                <w:rFonts w:ascii="Gudea" w:hAnsi="Gudea"/>
                <w:sz w:val="20"/>
              </w:rPr>
              <w:t>Fundatsen bestemmer, at et medlem blandt de menige medlemmer afgår hvert år efter tur.</w:t>
            </w:r>
          </w:p>
          <w:p w14:paraId="798C2F2F" w14:textId="77777777" w:rsidR="00523A30" w:rsidRDefault="00523A30" w:rsidP="00523A30">
            <w:pPr>
              <w:rPr>
                <w:rFonts w:ascii="Gudea" w:hAnsi="Gudea"/>
                <w:sz w:val="20"/>
              </w:rPr>
            </w:pPr>
          </w:p>
          <w:p w14:paraId="38C63A66" w14:textId="77777777" w:rsidR="00523A30" w:rsidRDefault="00523A30" w:rsidP="00523A30">
            <w:pPr>
              <w:rPr>
                <w:rFonts w:ascii="Gudea" w:hAnsi="Gudea"/>
                <w:sz w:val="20"/>
              </w:rPr>
            </w:pPr>
            <w:r>
              <w:rPr>
                <w:rFonts w:ascii="Gudea" w:hAnsi="Gudea"/>
                <w:sz w:val="20"/>
              </w:rPr>
              <w:t>Menige medlemmer har mulighed for genvalg.</w:t>
            </w:r>
          </w:p>
          <w:p w14:paraId="21B872A7" w14:textId="77777777" w:rsidR="00523A30" w:rsidRDefault="00523A30" w:rsidP="00523A30">
            <w:pPr>
              <w:rPr>
                <w:rFonts w:ascii="Gudea" w:hAnsi="Gudea"/>
                <w:sz w:val="20"/>
              </w:rPr>
            </w:pPr>
          </w:p>
          <w:p w14:paraId="12B1CC63" w14:textId="3B962F0C" w:rsidR="005B2433" w:rsidRPr="00523A30" w:rsidRDefault="00523A30" w:rsidP="00523A30">
            <w:pPr>
              <w:rPr>
                <w:rFonts w:ascii="Gudea" w:hAnsi="Gudea"/>
                <w:color w:val="FF0000"/>
                <w:sz w:val="20"/>
              </w:rPr>
            </w:pPr>
            <w:r>
              <w:rPr>
                <w:rFonts w:ascii="Gudea" w:hAnsi="Gudea"/>
                <w:sz w:val="20"/>
              </w:rPr>
              <w:t xml:space="preserve">Det bemærkes, at formanden jf. fundatsen sidder på livstid </w:t>
            </w:r>
            <w:r w:rsidR="003222FB">
              <w:rPr>
                <w:rFonts w:ascii="Gudea" w:hAnsi="Gudea"/>
                <w:sz w:val="20"/>
              </w:rPr>
              <w:t>i bestyrelsen.</w:t>
            </w:r>
          </w:p>
        </w:tc>
        <w:tc>
          <w:tcPr>
            <w:tcW w:w="2268" w:type="dxa"/>
            <w:tcBorders>
              <w:left w:val="single" w:sz="4" w:space="0" w:color="auto"/>
            </w:tcBorders>
          </w:tcPr>
          <w:p w14:paraId="26F7F443" w14:textId="0D33AA0B" w:rsidR="00523A30" w:rsidRDefault="003222FB" w:rsidP="00523A30">
            <w:pPr>
              <w:rPr>
                <w:rFonts w:ascii="Gudea" w:hAnsi="Gudea"/>
                <w:sz w:val="20"/>
              </w:rPr>
            </w:pPr>
            <w:r>
              <w:rPr>
                <w:rFonts w:ascii="Gudea" w:hAnsi="Gudea"/>
                <w:sz w:val="20"/>
              </w:rPr>
              <w:t>Jf.</w:t>
            </w:r>
            <w:r w:rsidR="00523A30">
              <w:rPr>
                <w:rFonts w:ascii="Gudea" w:hAnsi="Gudea"/>
                <w:sz w:val="20"/>
              </w:rPr>
              <w:t xml:space="preserve"> fundatsen afgår ét menigt medlem hvert år efter tur. </w:t>
            </w:r>
          </w:p>
          <w:p w14:paraId="6D4CED08" w14:textId="77777777" w:rsidR="00523A30" w:rsidRDefault="00523A30" w:rsidP="00523A30">
            <w:pPr>
              <w:rPr>
                <w:rFonts w:ascii="Gudea" w:hAnsi="Gudea"/>
                <w:sz w:val="20"/>
              </w:rPr>
            </w:pPr>
          </w:p>
          <w:p w14:paraId="7A7206BE" w14:textId="54650EE2" w:rsidR="00523A30" w:rsidRDefault="00523A30" w:rsidP="00523A30">
            <w:pPr>
              <w:rPr>
                <w:rFonts w:ascii="Gudea" w:hAnsi="Gudea"/>
                <w:sz w:val="20"/>
              </w:rPr>
            </w:pPr>
            <w:r>
              <w:rPr>
                <w:rFonts w:ascii="Gudea" w:hAnsi="Gudea"/>
                <w:sz w:val="20"/>
              </w:rPr>
              <w:t>Menig</w:t>
            </w:r>
            <w:r w:rsidR="003222FB">
              <w:rPr>
                <w:rFonts w:ascii="Gudea" w:hAnsi="Gudea"/>
                <w:sz w:val="20"/>
              </w:rPr>
              <w:t>e</w:t>
            </w:r>
            <w:r>
              <w:rPr>
                <w:rFonts w:ascii="Gudea" w:hAnsi="Gudea"/>
                <w:sz w:val="20"/>
              </w:rPr>
              <w:t xml:space="preserve"> medlemmer har mulighed for genvalg. </w:t>
            </w:r>
          </w:p>
          <w:p w14:paraId="53CBDA56" w14:textId="77777777" w:rsidR="00523A30" w:rsidRDefault="00523A30" w:rsidP="00523A30">
            <w:pPr>
              <w:rPr>
                <w:rFonts w:ascii="Gudea" w:hAnsi="Gudea"/>
                <w:sz w:val="20"/>
              </w:rPr>
            </w:pPr>
          </w:p>
          <w:p w14:paraId="1A0BFCA0" w14:textId="7471FB8A" w:rsidR="00523A30" w:rsidRDefault="00523A30" w:rsidP="00523A30">
            <w:pPr>
              <w:rPr>
                <w:rFonts w:ascii="Gudea" w:hAnsi="Gudea"/>
                <w:sz w:val="20"/>
              </w:rPr>
            </w:pPr>
            <w:r>
              <w:rPr>
                <w:rFonts w:ascii="Gudea" w:hAnsi="Gudea"/>
                <w:sz w:val="20"/>
              </w:rPr>
              <w:t>Formanden sidder på livstid jf. fundatsen.</w:t>
            </w:r>
          </w:p>
          <w:p w14:paraId="49FA9D0C" w14:textId="7556B288" w:rsidR="005B2433" w:rsidRPr="00C21039" w:rsidRDefault="00523A30" w:rsidP="00523A30">
            <w:pPr>
              <w:rPr>
                <w:rFonts w:ascii="Gudea" w:hAnsi="Gudea"/>
                <w:sz w:val="20"/>
              </w:rPr>
            </w:pPr>
            <w:r>
              <w:rPr>
                <w:rFonts w:ascii="Gudea" w:hAnsi="Gudea"/>
                <w:sz w:val="20"/>
              </w:rPr>
              <w:t xml:space="preserve"> </w:t>
            </w: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5FAA4ACB" w14:textId="545A21B5" w:rsidR="000574B2" w:rsidRDefault="000574B2" w:rsidP="000574B2">
            <w:pPr>
              <w:rPr>
                <w:rFonts w:ascii="Gudea" w:hAnsi="Gudea"/>
                <w:sz w:val="20"/>
              </w:rPr>
            </w:pPr>
            <w:r>
              <w:rPr>
                <w:rFonts w:ascii="Gudea" w:hAnsi="Gudea"/>
                <w:sz w:val="20"/>
              </w:rPr>
              <w:t>Bestyrelsen anser ikke alder som hverken kvalificerende eller diskvalificerende</w:t>
            </w:r>
            <w:r w:rsidR="00500910">
              <w:rPr>
                <w:rFonts w:ascii="Gudea" w:hAnsi="Gudea"/>
                <w:sz w:val="20"/>
              </w:rPr>
              <w:t xml:space="preserve">, </w:t>
            </w:r>
            <w:r>
              <w:rPr>
                <w:rFonts w:ascii="Gudea" w:hAnsi="Gudea"/>
                <w:sz w:val="20"/>
              </w:rPr>
              <w:t xml:space="preserve">hvorfor der ikke </w:t>
            </w:r>
            <w:r w:rsidR="00500910">
              <w:rPr>
                <w:rFonts w:ascii="Gudea" w:hAnsi="Gudea"/>
                <w:sz w:val="20"/>
              </w:rPr>
              <w:t>er fastsat</w:t>
            </w:r>
            <w:r>
              <w:rPr>
                <w:rFonts w:ascii="Gudea" w:hAnsi="Gudea"/>
                <w:sz w:val="20"/>
              </w:rPr>
              <w:t xml:space="preserve"> en aldersgrænse. </w:t>
            </w:r>
          </w:p>
          <w:p w14:paraId="62F6D518" w14:textId="2815B976" w:rsidR="005B2433" w:rsidRPr="00C21039" w:rsidRDefault="000574B2" w:rsidP="000574B2">
            <w:pPr>
              <w:rPr>
                <w:rFonts w:ascii="Gudea" w:hAnsi="Gudea"/>
                <w:sz w:val="20"/>
              </w:rPr>
            </w:pPr>
            <w:r>
              <w:rPr>
                <w:rFonts w:ascii="Gudea" w:hAnsi="Gudea"/>
                <w:sz w:val="20"/>
              </w:rPr>
              <w:t xml:space="preserve">Bestyrelsesformanden kan jf. fundatsen sidde livsvarigt. </w:t>
            </w:r>
          </w:p>
        </w:tc>
        <w:tc>
          <w:tcPr>
            <w:tcW w:w="2268" w:type="dxa"/>
            <w:tcBorders>
              <w:left w:val="single" w:sz="4" w:space="0" w:color="auto"/>
              <w:bottom w:val="single" w:sz="4" w:space="0" w:color="auto"/>
            </w:tcBorders>
          </w:tcPr>
          <w:p w14:paraId="2DF17342" w14:textId="7A75D972" w:rsidR="00D179CA" w:rsidRDefault="00D65C39" w:rsidP="00E62A55">
            <w:pPr>
              <w:rPr>
                <w:rFonts w:ascii="Gudea" w:hAnsi="Gudea"/>
                <w:sz w:val="20"/>
              </w:rPr>
            </w:pPr>
            <w:r>
              <w:rPr>
                <w:rFonts w:ascii="Gudea" w:hAnsi="Gudea"/>
                <w:sz w:val="20"/>
              </w:rPr>
              <w:t>Fonden</w:t>
            </w:r>
            <w:r w:rsidR="00D179CA">
              <w:rPr>
                <w:rFonts w:ascii="Gudea" w:hAnsi="Gudea"/>
                <w:sz w:val="20"/>
              </w:rPr>
              <w:t xml:space="preserve">s vedtægter indeholder ikke bestemmelser om aldersgrænse. </w:t>
            </w:r>
          </w:p>
          <w:p w14:paraId="336E9806" w14:textId="77777777" w:rsidR="00D179CA" w:rsidRDefault="00D179CA" w:rsidP="00E62A55">
            <w:pPr>
              <w:rPr>
                <w:rFonts w:ascii="Gudea" w:hAnsi="Gudea"/>
                <w:sz w:val="20"/>
              </w:rPr>
            </w:pPr>
          </w:p>
          <w:p w14:paraId="3259EF22" w14:textId="47696FE6" w:rsidR="005B2433" w:rsidRPr="00C21039" w:rsidRDefault="00D179CA" w:rsidP="00E4481F">
            <w:pPr>
              <w:rPr>
                <w:rFonts w:ascii="Gudea" w:hAnsi="Gudea"/>
                <w:sz w:val="20"/>
              </w:rPr>
            </w:pPr>
            <w:r>
              <w:rPr>
                <w:rFonts w:ascii="Gudea" w:hAnsi="Gudea"/>
                <w:sz w:val="20"/>
              </w:rPr>
              <w:t>Den løbende vurdering af bestyrelsesmedlemmers kompetencer og ønsket om fleksibilitet i forhold til bedst mulig planlægning af sammen</w:t>
            </w:r>
            <w:r w:rsidR="00BC2F15">
              <w:rPr>
                <w:rFonts w:ascii="Gudea" w:hAnsi="Gudea"/>
                <w:sz w:val="20"/>
              </w:rPr>
              <w:t xml:space="preserve">sætningen af Fondens bestyrelse </w:t>
            </w:r>
            <w:r>
              <w:rPr>
                <w:rFonts w:ascii="Gudea" w:hAnsi="Gudea"/>
                <w:sz w:val="20"/>
              </w:rPr>
              <w:t xml:space="preserve">er grunden til, at en ændring af vedtægten på dette punkt ikke er foreslået. </w:t>
            </w: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680B103F" w14:textId="77777777" w:rsidR="005B2433" w:rsidRDefault="005B2433" w:rsidP="005B2433">
            <w:pPr>
              <w:jc w:val="both"/>
              <w:rPr>
                <w:rFonts w:ascii="Gudea" w:hAnsi="Gudea"/>
                <w:sz w:val="20"/>
              </w:rPr>
            </w:pPr>
          </w:p>
          <w:p w14:paraId="6B284E85" w14:textId="77777777" w:rsidR="00E62A55" w:rsidRDefault="00E62A55" w:rsidP="005B2433">
            <w:pPr>
              <w:jc w:val="both"/>
              <w:rPr>
                <w:rFonts w:ascii="Gudea" w:hAnsi="Gudea"/>
                <w:sz w:val="20"/>
              </w:rPr>
            </w:pPr>
          </w:p>
          <w:p w14:paraId="6B56AECD" w14:textId="77777777" w:rsidR="00E62A55" w:rsidRDefault="00E62A55" w:rsidP="005B2433">
            <w:pPr>
              <w:jc w:val="both"/>
              <w:rPr>
                <w:rFonts w:ascii="Gudea" w:hAnsi="Gudea"/>
                <w:sz w:val="20"/>
              </w:rPr>
            </w:pPr>
          </w:p>
          <w:p w14:paraId="48A03CD7" w14:textId="2AAFA3FF" w:rsidR="00E62A55" w:rsidRPr="00C21039" w:rsidRDefault="00E62A55" w:rsidP="00E62A55">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5FB67A49" w14:textId="77777777" w:rsidR="005B2433" w:rsidRDefault="005B2433" w:rsidP="005B2433">
            <w:pPr>
              <w:jc w:val="both"/>
              <w:rPr>
                <w:rFonts w:ascii="Gudea" w:hAnsi="Gudea"/>
                <w:sz w:val="20"/>
              </w:rPr>
            </w:pPr>
          </w:p>
          <w:p w14:paraId="23842462" w14:textId="77777777" w:rsidR="00E62A55" w:rsidRDefault="00E62A55" w:rsidP="005B2433">
            <w:pPr>
              <w:jc w:val="both"/>
              <w:rPr>
                <w:rFonts w:ascii="Gudea" w:hAnsi="Gudea"/>
                <w:sz w:val="20"/>
              </w:rPr>
            </w:pPr>
          </w:p>
          <w:p w14:paraId="4CB5D573" w14:textId="208DC38A" w:rsidR="00E62A55" w:rsidRDefault="00E62A55" w:rsidP="00E62A55">
            <w:pPr>
              <w:jc w:val="center"/>
              <w:rPr>
                <w:rFonts w:ascii="Gudea" w:hAnsi="Gudea"/>
                <w:sz w:val="20"/>
              </w:rPr>
            </w:pPr>
            <w:r>
              <w:rPr>
                <w:rFonts w:ascii="Gudea" w:hAnsi="Gudea"/>
                <w:sz w:val="20"/>
              </w:rPr>
              <w:t>x</w:t>
            </w:r>
          </w:p>
          <w:p w14:paraId="2840E0C2" w14:textId="37D04A0E" w:rsidR="00E62A55" w:rsidRPr="00C21039" w:rsidRDefault="00E62A55" w:rsidP="005B2433">
            <w:pPr>
              <w:jc w:val="both"/>
              <w:rPr>
                <w:rFonts w:ascii="Gudea" w:hAnsi="Gudea"/>
                <w:sz w:val="20"/>
              </w:rPr>
            </w:pP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lastRenderedPageBreak/>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10AF4DE3" w14:textId="77777777" w:rsidR="005B2433" w:rsidRDefault="005B2433" w:rsidP="005B2433">
            <w:pPr>
              <w:jc w:val="both"/>
              <w:rPr>
                <w:rFonts w:ascii="Gudea" w:hAnsi="Gudea"/>
                <w:sz w:val="20"/>
              </w:rPr>
            </w:pPr>
          </w:p>
          <w:p w14:paraId="2A08C533" w14:textId="77777777" w:rsidR="00E62A55" w:rsidRDefault="00E62A55" w:rsidP="005B2433">
            <w:pPr>
              <w:jc w:val="both"/>
              <w:rPr>
                <w:rFonts w:ascii="Gudea" w:hAnsi="Gudea"/>
                <w:sz w:val="20"/>
              </w:rPr>
            </w:pPr>
          </w:p>
          <w:p w14:paraId="2F1E41B8" w14:textId="77777777" w:rsidR="00E62A55" w:rsidRDefault="00E62A55" w:rsidP="005B2433">
            <w:pPr>
              <w:jc w:val="both"/>
              <w:rPr>
                <w:rFonts w:ascii="Gudea" w:hAnsi="Gudea"/>
                <w:sz w:val="20"/>
              </w:rPr>
            </w:pPr>
          </w:p>
          <w:p w14:paraId="37FBE8E0" w14:textId="77777777" w:rsidR="00E62A55" w:rsidRDefault="00E62A55" w:rsidP="005B2433">
            <w:pPr>
              <w:jc w:val="both"/>
              <w:rPr>
                <w:rFonts w:ascii="Gudea" w:hAnsi="Gudea"/>
                <w:sz w:val="20"/>
              </w:rPr>
            </w:pPr>
          </w:p>
          <w:p w14:paraId="4AB2A1BA" w14:textId="77777777" w:rsidR="00E62A55" w:rsidRDefault="00E62A55" w:rsidP="005B2433">
            <w:pPr>
              <w:jc w:val="both"/>
              <w:rPr>
                <w:rFonts w:ascii="Gudea" w:hAnsi="Gudea"/>
                <w:sz w:val="20"/>
              </w:rPr>
            </w:pPr>
          </w:p>
          <w:p w14:paraId="335B23F7" w14:textId="71D7E6C3" w:rsidR="00E62A55" w:rsidRPr="00C21039" w:rsidRDefault="00F177C0" w:rsidP="00F177C0">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7370A2AC" w14:textId="77777777" w:rsidR="005B2433" w:rsidRDefault="005B2433" w:rsidP="005B2433">
            <w:pPr>
              <w:jc w:val="both"/>
              <w:rPr>
                <w:rFonts w:ascii="Gudea" w:hAnsi="Gudea"/>
                <w:sz w:val="20"/>
              </w:rPr>
            </w:pPr>
          </w:p>
          <w:p w14:paraId="34C6D1D0" w14:textId="77777777" w:rsidR="00E62A55" w:rsidRDefault="00E62A55" w:rsidP="005B2433">
            <w:pPr>
              <w:jc w:val="both"/>
              <w:rPr>
                <w:rFonts w:ascii="Gudea" w:hAnsi="Gudea"/>
                <w:sz w:val="20"/>
              </w:rPr>
            </w:pPr>
          </w:p>
          <w:p w14:paraId="4D24BDC4" w14:textId="77777777" w:rsidR="00F81602" w:rsidRDefault="00F81602" w:rsidP="005B2433">
            <w:pPr>
              <w:jc w:val="both"/>
              <w:rPr>
                <w:rFonts w:ascii="Gudea" w:hAnsi="Gudea"/>
                <w:sz w:val="20"/>
              </w:rPr>
            </w:pPr>
          </w:p>
          <w:p w14:paraId="25C77CE0" w14:textId="77777777" w:rsidR="00F81602" w:rsidRDefault="00F81602" w:rsidP="005B2433">
            <w:pPr>
              <w:jc w:val="both"/>
              <w:rPr>
                <w:rFonts w:ascii="Gudea" w:hAnsi="Gudea"/>
                <w:sz w:val="20"/>
              </w:rPr>
            </w:pPr>
          </w:p>
          <w:p w14:paraId="4EAA4F45" w14:textId="77777777" w:rsidR="00F81602" w:rsidRDefault="00F81602" w:rsidP="005B2433">
            <w:pPr>
              <w:jc w:val="both"/>
              <w:rPr>
                <w:rFonts w:ascii="Gudea" w:hAnsi="Gudea"/>
                <w:sz w:val="20"/>
              </w:rPr>
            </w:pPr>
          </w:p>
          <w:p w14:paraId="2CB6A549" w14:textId="77777777" w:rsidR="00F81602" w:rsidRDefault="00F81602" w:rsidP="005B2433">
            <w:pPr>
              <w:jc w:val="both"/>
              <w:rPr>
                <w:rFonts w:ascii="Gudea" w:hAnsi="Gudea"/>
                <w:sz w:val="20"/>
              </w:rPr>
            </w:pPr>
          </w:p>
          <w:p w14:paraId="02F41A6A" w14:textId="77777777" w:rsidR="00F81602" w:rsidRDefault="00F81602" w:rsidP="005B2433">
            <w:pPr>
              <w:jc w:val="both"/>
              <w:rPr>
                <w:rFonts w:ascii="Gudea" w:hAnsi="Gudea"/>
                <w:sz w:val="20"/>
              </w:rPr>
            </w:pPr>
          </w:p>
          <w:p w14:paraId="36931147" w14:textId="77777777" w:rsidR="00F81602" w:rsidRDefault="00F81602" w:rsidP="005B2433">
            <w:pPr>
              <w:jc w:val="both"/>
              <w:rPr>
                <w:rFonts w:ascii="Gudea" w:hAnsi="Gudea"/>
                <w:sz w:val="20"/>
              </w:rPr>
            </w:pPr>
          </w:p>
          <w:p w14:paraId="295C4973" w14:textId="02C759BF" w:rsidR="00F81602" w:rsidRPr="00C21039" w:rsidRDefault="00F81602" w:rsidP="00F81602">
            <w:pPr>
              <w:jc w:val="center"/>
              <w:rPr>
                <w:rFonts w:ascii="Gudea" w:hAnsi="Gudea"/>
                <w:sz w:val="20"/>
              </w:rPr>
            </w:pPr>
            <w:r>
              <w:rPr>
                <w:rFonts w:ascii="Gudea" w:hAnsi="Gudea"/>
                <w:sz w:val="20"/>
              </w:rPr>
              <w:t>x</w:t>
            </w:r>
          </w:p>
        </w:tc>
        <w:tc>
          <w:tcPr>
            <w:tcW w:w="2409" w:type="dxa"/>
            <w:gridSpan w:val="2"/>
            <w:tcBorders>
              <w:right w:val="single" w:sz="4" w:space="0" w:color="auto"/>
            </w:tcBorders>
          </w:tcPr>
          <w:p w14:paraId="547A98E4" w14:textId="7BE30AB4" w:rsidR="005B2433" w:rsidRPr="00C21039" w:rsidRDefault="005B2433" w:rsidP="00F81602">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CFCF" w14:textId="77777777" w:rsidR="00C925E0" w:rsidRDefault="00C925E0" w:rsidP="00EC76D3">
      <w:r>
        <w:separator/>
      </w:r>
    </w:p>
  </w:endnote>
  <w:endnote w:type="continuationSeparator" w:id="0">
    <w:p w14:paraId="2DE5124F" w14:textId="77777777" w:rsidR="00C925E0" w:rsidRDefault="00C925E0"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6"/>
      </w:rPr>
      <w:id w:val="-1817643074"/>
      <w:docPartObj>
        <w:docPartGallery w:val="Page Numbers (Bottom of Page)"/>
        <w:docPartUnique/>
      </w:docPartObj>
    </w:sdtPr>
    <w:sdtEndPr/>
    <w:sdtContent>
      <w:p w14:paraId="34B3B775" w14:textId="2D74517E"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00F83358">
          <w:rPr>
            <w:noProof/>
            <w:sz w:val="20"/>
            <w:szCs w:val="16"/>
          </w:rPr>
          <w:t>9</w:t>
        </w:r>
        <w:r w:rsidRPr="006B2A8E">
          <w:rPr>
            <w:sz w:val="20"/>
            <w:szCs w:val="16"/>
          </w:rPr>
          <w:fldChar w:fldCharType="end"/>
        </w:r>
      </w:p>
    </w:sdtContent>
  </w:sdt>
  <w:p w14:paraId="6C669F91" w14:textId="72E845B1"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D2F7" w14:textId="77777777" w:rsidR="00C925E0" w:rsidRDefault="00C925E0" w:rsidP="00EC76D3">
      <w:r>
        <w:separator/>
      </w:r>
    </w:p>
  </w:footnote>
  <w:footnote w:type="continuationSeparator" w:id="0">
    <w:p w14:paraId="39BAC8F7" w14:textId="77777777" w:rsidR="00C925E0" w:rsidRDefault="00C925E0"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39"/>
    <w:rsid w:val="0003126E"/>
    <w:rsid w:val="0003326F"/>
    <w:rsid w:val="000448D5"/>
    <w:rsid w:val="0005319D"/>
    <w:rsid w:val="0005653A"/>
    <w:rsid w:val="000574B2"/>
    <w:rsid w:val="00063BD1"/>
    <w:rsid w:val="000663DA"/>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26A"/>
    <w:rsid w:val="00207D27"/>
    <w:rsid w:val="002105F4"/>
    <w:rsid w:val="00223FAF"/>
    <w:rsid w:val="00227881"/>
    <w:rsid w:val="00240D83"/>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4775"/>
    <w:rsid w:val="00315AAC"/>
    <w:rsid w:val="003222FB"/>
    <w:rsid w:val="0032430D"/>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302A0"/>
    <w:rsid w:val="0045162E"/>
    <w:rsid w:val="004579A4"/>
    <w:rsid w:val="00466A82"/>
    <w:rsid w:val="004718B5"/>
    <w:rsid w:val="00477B08"/>
    <w:rsid w:val="00484BEC"/>
    <w:rsid w:val="00491625"/>
    <w:rsid w:val="00491E61"/>
    <w:rsid w:val="00492DAC"/>
    <w:rsid w:val="004B374E"/>
    <w:rsid w:val="004E2075"/>
    <w:rsid w:val="004E35F7"/>
    <w:rsid w:val="004E678F"/>
    <w:rsid w:val="004E7809"/>
    <w:rsid w:val="004F4274"/>
    <w:rsid w:val="00500910"/>
    <w:rsid w:val="005059DB"/>
    <w:rsid w:val="00506503"/>
    <w:rsid w:val="0050719D"/>
    <w:rsid w:val="00512D55"/>
    <w:rsid w:val="0052273C"/>
    <w:rsid w:val="00523A30"/>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6298A"/>
    <w:rsid w:val="0066637F"/>
    <w:rsid w:val="006759D2"/>
    <w:rsid w:val="006868EC"/>
    <w:rsid w:val="00687235"/>
    <w:rsid w:val="0069387D"/>
    <w:rsid w:val="006B128A"/>
    <w:rsid w:val="006B2A8E"/>
    <w:rsid w:val="006D5E4D"/>
    <w:rsid w:val="006E355A"/>
    <w:rsid w:val="00703F64"/>
    <w:rsid w:val="00720CD6"/>
    <w:rsid w:val="007427DA"/>
    <w:rsid w:val="00743193"/>
    <w:rsid w:val="00744CAC"/>
    <w:rsid w:val="0074643C"/>
    <w:rsid w:val="00762FF5"/>
    <w:rsid w:val="00770B94"/>
    <w:rsid w:val="00790A0C"/>
    <w:rsid w:val="007940E8"/>
    <w:rsid w:val="007B799F"/>
    <w:rsid w:val="007C32A7"/>
    <w:rsid w:val="007D0974"/>
    <w:rsid w:val="007D7779"/>
    <w:rsid w:val="007E2B78"/>
    <w:rsid w:val="007E3D63"/>
    <w:rsid w:val="007F6400"/>
    <w:rsid w:val="007F6C52"/>
    <w:rsid w:val="007F7522"/>
    <w:rsid w:val="008012E4"/>
    <w:rsid w:val="00802174"/>
    <w:rsid w:val="00826717"/>
    <w:rsid w:val="00851F80"/>
    <w:rsid w:val="008544B0"/>
    <w:rsid w:val="008615E7"/>
    <w:rsid w:val="00866FE3"/>
    <w:rsid w:val="008828BA"/>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54E2E"/>
    <w:rsid w:val="009613A3"/>
    <w:rsid w:val="0097324A"/>
    <w:rsid w:val="00994421"/>
    <w:rsid w:val="009A6F6E"/>
    <w:rsid w:val="009C1685"/>
    <w:rsid w:val="009F454B"/>
    <w:rsid w:val="00A026B5"/>
    <w:rsid w:val="00A1001F"/>
    <w:rsid w:val="00A2085B"/>
    <w:rsid w:val="00A461C8"/>
    <w:rsid w:val="00A51C62"/>
    <w:rsid w:val="00A61BB9"/>
    <w:rsid w:val="00A66696"/>
    <w:rsid w:val="00A82202"/>
    <w:rsid w:val="00A8226B"/>
    <w:rsid w:val="00A86D07"/>
    <w:rsid w:val="00AA6DD7"/>
    <w:rsid w:val="00AB0D87"/>
    <w:rsid w:val="00AB2BB6"/>
    <w:rsid w:val="00AD3261"/>
    <w:rsid w:val="00AE72B4"/>
    <w:rsid w:val="00AF0062"/>
    <w:rsid w:val="00AF5A6C"/>
    <w:rsid w:val="00AF7BE0"/>
    <w:rsid w:val="00B04F6E"/>
    <w:rsid w:val="00B0561F"/>
    <w:rsid w:val="00B364A6"/>
    <w:rsid w:val="00B57289"/>
    <w:rsid w:val="00B714C9"/>
    <w:rsid w:val="00B76595"/>
    <w:rsid w:val="00B83599"/>
    <w:rsid w:val="00B930FD"/>
    <w:rsid w:val="00B94F7F"/>
    <w:rsid w:val="00B97CFC"/>
    <w:rsid w:val="00BA1794"/>
    <w:rsid w:val="00BA6DA9"/>
    <w:rsid w:val="00BC0B0D"/>
    <w:rsid w:val="00BC2F15"/>
    <w:rsid w:val="00BC575B"/>
    <w:rsid w:val="00BD2922"/>
    <w:rsid w:val="00BE27B0"/>
    <w:rsid w:val="00BE74B8"/>
    <w:rsid w:val="00BE770D"/>
    <w:rsid w:val="00BF7774"/>
    <w:rsid w:val="00C049CF"/>
    <w:rsid w:val="00C13078"/>
    <w:rsid w:val="00C16FAC"/>
    <w:rsid w:val="00C21039"/>
    <w:rsid w:val="00C31BF1"/>
    <w:rsid w:val="00C33052"/>
    <w:rsid w:val="00C53BC3"/>
    <w:rsid w:val="00C628A6"/>
    <w:rsid w:val="00C925E0"/>
    <w:rsid w:val="00CB150F"/>
    <w:rsid w:val="00CC1DF5"/>
    <w:rsid w:val="00CC232B"/>
    <w:rsid w:val="00CC3FCE"/>
    <w:rsid w:val="00CC6FFA"/>
    <w:rsid w:val="00CE2C74"/>
    <w:rsid w:val="00CF2FE7"/>
    <w:rsid w:val="00D04826"/>
    <w:rsid w:val="00D125F6"/>
    <w:rsid w:val="00D179CA"/>
    <w:rsid w:val="00D20E75"/>
    <w:rsid w:val="00D23C46"/>
    <w:rsid w:val="00D55D45"/>
    <w:rsid w:val="00D57CF1"/>
    <w:rsid w:val="00D60E80"/>
    <w:rsid w:val="00D65C39"/>
    <w:rsid w:val="00D674D9"/>
    <w:rsid w:val="00D74400"/>
    <w:rsid w:val="00D81459"/>
    <w:rsid w:val="00D815E8"/>
    <w:rsid w:val="00D9209B"/>
    <w:rsid w:val="00D93970"/>
    <w:rsid w:val="00DA041F"/>
    <w:rsid w:val="00DA712E"/>
    <w:rsid w:val="00DB01A7"/>
    <w:rsid w:val="00DB4B62"/>
    <w:rsid w:val="00DE5365"/>
    <w:rsid w:val="00DF52AB"/>
    <w:rsid w:val="00DF7479"/>
    <w:rsid w:val="00DF7A63"/>
    <w:rsid w:val="00E07F56"/>
    <w:rsid w:val="00E1349A"/>
    <w:rsid w:val="00E2045B"/>
    <w:rsid w:val="00E26E0A"/>
    <w:rsid w:val="00E318DC"/>
    <w:rsid w:val="00E370A4"/>
    <w:rsid w:val="00E4481F"/>
    <w:rsid w:val="00E44D33"/>
    <w:rsid w:val="00E508DD"/>
    <w:rsid w:val="00E62A55"/>
    <w:rsid w:val="00E659FA"/>
    <w:rsid w:val="00E71199"/>
    <w:rsid w:val="00E74BAE"/>
    <w:rsid w:val="00E821D3"/>
    <w:rsid w:val="00E906AB"/>
    <w:rsid w:val="00E920B0"/>
    <w:rsid w:val="00E92794"/>
    <w:rsid w:val="00EA45B1"/>
    <w:rsid w:val="00EB7517"/>
    <w:rsid w:val="00EC6123"/>
    <w:rsid w:val="00EC76D3"/>
    <w:rsid w:val="00EF3CD1"/>
    <w:rsid w:val="00F00323"/>
    <w:rsid w:val="00F04D66"/>
    <w:rsid w:val="00F177C0"/>
    <w:rsid w:val="00F263CE"/>
    <w:rsid w:val="00F31B91"/>
    <w:rsid w:val="00F710F5"/>
    <w:rsid w:val="00F7224F"/>
    <w:rsid w:val="00F74A25"/>
    <w:rsid w:val="00F75F8E"/>
    <w:rsid w:val="00F81602"/>
    <w:rsid w:val="00F83358"/>
    <w:rsid w:val="00F92C21"/>
    <w:rsid w:val="00FA2FA9"/>
    <w:rsid w:val="00FB2215"/>
    <w:rsid w:val="00FD08C9"/>
    <w:rsid w:val="00FE028D"/>
    <w:rsid w:val="00FE2609"/>
    <w:rsid w:val="00FF70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customStyle="1" w:styleId="UnresolvedMention">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10" ma:contentTypeDescription="Opret et nyt dokument." ma:contentTypeScope="" ma:versionID="22ca493e105fcbb6f2aa1cf1ebbde8b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fdfe02220116d2c064a837a666d3a8db"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2.xml><?xml version="1.0" encoding="utf-8"?>
<ds:datastoreItem xmlns:ds="http://schemas.openxmlformats.org/officeDocument/2006/customXml" ds:itemID="{31AB2E46-3C9F-4DA6-9228-1CCDA13B8681}">
  <ds:schemaRefs>
    <ds:schemaRef ds:uri="http://purl.org/dc/elements/1.1/"/>
    <ds:schemaRef ds:uri="http://schemas.microsoft.com/office/2006/metadata/properties"/>
    <ds:schemaRef ds:uri="67959387-b910-47a5-8301-8f4f5bdf62fb"/>
    <ds:schemaRef ds:uri="http://purl.org/dc/terms/"/>
    <ds:schemaRef ds:uri="http://schemas.openxmlformats.org/package/2006/metadata/core-properties"/>
    <ds:schemaRef ds:uri="http://schemas.microsoft.com/office/2006/documentManagement/types"/>
    <ds:schemaRef ds:uri="2d946ae7-885a-4d21-ae44-0b7dc22704a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D49B21-EF7E-4F66-8404-CB1E5558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2DFB3-6921-448F-B321-2498ED20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1627</Words>
  <Characters>9929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Christine Wiberg-Lyng</cp:lastModifiedBy>
  <cp:revision>3</cp:revision>
  <cp:lastPrinted>2020-11-30T10:04:00Z</cp:lastPrinted>
  <dcterms:created xsi:type="dcterms:W3CDTF">2020-11-30T10:05:00Z</dcterms:created>
  <dcterms:modified xsi:type="dcterms:W3CDTF">2020-12-03T08:44:00Z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